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webSettings.xml" ContentType="application/vnd.openxmlformats-officedocument.wordprocessingml.webSettings+xml"/>
  <Override PartName="/docProps/core.xml" ContentType="application/vnd.openxmlformats-package.core-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5271" w:rsidRPr="00B25271" w:rsidRDefault="00B25271" w:rsidP="00BF4B56">
      <w:pPr>
        <w:spacing w:before="240" w:after="240" w:line="240" w:lineRule="auto"/>
        <w:jc w:val="both"/>
        <w:rPr>
          <w:rFonts w:ascii="Arial" w:hAnsi="Arial"/>
          <w:b/>
          <w:sz w:val="32"/>
          <w:lang w:val="en-GB"/>
        </w:rPr>
      </w:pPr>
      <w:bookmarkStart w:id="0" w:name="_GoBack"/>
      <w:bookmarkEnd w:id="0"/>
      <w:r w:rsidRPr="00B25271">
        <w:rPr>
          <w:rFonts w:ascii="Arial" w:hAnsi="Arial"/>
          <w:b/>
          <w:sz w:val="32"/>
          <w:lang w:val="en-GB"/>
        </w:rPr>
        <w:t>Submission on Class 3 Compensation Practice Note</w:t>
      </w:r>
    </w:p>
    <w:p w:rsidR="00B25271" w:rsidRDefault="00B25271" w:rsidP="00BF4B56">
      <w:pPr>
        <w:spacing w:before="240" w:after="240" w:line="240" w:lineRule="auto"/>
        <w:jc w:val="both"/>
        <w:rPr>
          <w:rFonts w:ascii="Arial" w:hAnsi="Arial"/>
          <w:sz w:val="24"/>
          <w:lang w:val="en-GB"/>
        </w:rPr>
      </w:pPr>
    </w:p>
    <w:p w:rsidR="005E58D9" w:rsidRPr="005E58D9" w:rsidRDefault="005E58D9" w:rsidP="00BF4B56">
      <w:pPr>
        <w:spacing w:before="240" w:after="240" w:line="240" w:lineRule="auto"/>
        <w:jc w:val="both"/>
        <w:rPr>
          <w:rFonts w:ascii="Arial" w:hAnsi="Arial"/>
          <w:sz w:val="24"/>
          <w:lang w:val="en-GB"/>
        </w:rPr>
      </w:pPr>
      <w:r w:rsidRPr="005E58D9">
        <w:rPr>
          <w:rFonts w:ascii="Arial" w:hAnsi="Arial"/>
          <w:sz w:val="24"/>
          <w:lang w:val="en-GB"/>
        </w:rPr>
        <w:t>Please see to follow my submission as to the questions put forward by His Honour for discussion.</w:t>
      </w:r>
    </w:p>
    <w:p w:rsidR="005E58D9" w:rsidRPr="005E58D9" w:rsidRDefault="005E58D9" w:rsidP="00BF4B56">
      <w:pPr>
        <w:pStyle w:val="ListParagraph"/>
        <w:numPr>
          <w:ilvl w:val="0"/>
          <w:numId w:val="1"/>
        </w:numPr>
        <w:spacing w:before="240" w:after="240"/>
        <w:ind w:hanging="720"/>
        <w:jc w:val="both"/>
        <w:rPr>
          <w:rFonts w:ascii="Arial" w:hAnsi="Arial"/>
          <w:lang w:val="en-GB"/>
        </w:rPr>
      </w:pPr>
      <w:r w:rsidRPr="005E58D9">
        <w:rPr>
          <w:rFonts w:ascii="Arial" w:hAnsi="Arial"/>
          <w:lang w:val="en-GB"/>
        </w:rPr>
        <w:t>Yes.  The criteria should be whether there is to be a disturbance claim (apart from s 59(a) or (b)) – or alternatively whether the acquisition was partial or total and involved taking or leaving a dwelling.</w:t>
      </w:r>
    </w:p>
    <w:p w:rsidR="005E58D9" w:rsidRPr="005E58D9" w:rsidRDefault="005E58D9" w:rsidP="00BF4B56">
      <w:pPr>
        <w:pStyle w:val="ListParagraph"/>
        <w:numPr>
          <w:ilvl w:val="0"/>
          <w:numId w:val="1"/>
        </w:numPr>
        <w:spacing w:before="240" w:after="240"/>
        <w:ind w:hanging="720"/>
        <w:jc w:val="both"/>
        <w:rPr>
          <w:rFonts w:ascii="Arial" w:hAnsi="Arial"/>
          <w:lang w:val="en-GB"/>
        </w:rPr>
      </w:pPr>
      <w:r w:rsidRPr="005E58D9">
        <w:rPr>
          <w:rFonts w:ascii="Arial" w:hAnsi="Arial"/>
          <w:lang w:val="en-GB"/>
        </w:rPr>
        <w:t xml:space="preserve">Only the Applicant should be able to elect to put any LVC matter into a “faster” stream. Where an applicant has elected not to be put into that </w:t>
      </w:r>
      <w:proofErr w:type="gramStart"/>
      <w:r w:rsidRPr="005E58D9">
        <w:rPr>
          <w:rFonts w:ascii="Arial" w:hAnsi="Arial"/>
          <w:lang w:val="en-GB"/>
        </w:rPr>
        <w:t>stream, that</w:t>
      </w:r>
      <w:proofErr w:type="gramEnd"/>
      <w:r w:rsidRPr="005E58D9">
        <w:rPr>
          <w:rFonts w:ascii="Arial" w:hAnsi="Arial"/>
          <w:lang w:val="en-GB"/>
        </w:rPr>
        <w:t xml:space="preserve"> should be taken into account in any review by the LVC judge. </w:t>
      </w:r>
    </w:p>
    <w:p w:rsidR="005E58D9" w:rsidRPr="005E58D9" w:rsidRDefault="005E58D9" w:rsidP="00BF4B56">
      <w:pPr>
        <w:pStyle w:val="ListParagraph"/>
        <w:numPr>
          <w:ilvl w:val="0"/>
          <w:numId w:val="1"/>
        </w:numPr>
        <w:spacing w:before="240" w:after="240"/>
        <w:ind w:hanging="720"/>
        <w:jc w:val="both"/>
        <w:rPr>
          <w:rFonts w:ascii="Arial" w:hAnsi="Arial"/>
          <w:lang w:val="en-GB"/>
        </w:rPr>
      </w:pPr>
      <w:r w:rsidRPr="005E58D9">
        <w:rPr>
          <w:rFonts w:ascii="Arial" w:hAnsi="Arial"/>
          <w:lang w:val="en-GB"/>
        </w:rPr>
        <w:t>Conciliation conferences for less complex matters should be scheduled as soon as possible after filing.  Alternatively, parties should exchange only without prejudice valuation reports and position papers before that conference. There should in general be no staggering in this process.</w:t>
      </w:r>
    </w:p>
    <w:p w:rsidR="005E58D9" w:rsidRPr="005E58D9" w:rsidRDefault="005E58D9" w:rsidP="00BF4B56">
      <w:pPr>
        <w:pStyle w:val="ListParagraph"/>
        <w:numPr>
          <w:ilvl w:val="0"/>
          <w:numId w:val="1"/>
        </w:numPr>
        <w:spacing w:before="240" w:after="240"/>
        <w:ind w:hanging="720"/>
        <w:jc w:val="both"/>
        <w:rPr>
          <w:rFonts w:ascii="Arial" w:hAnsi="Arial"/>
          <w:lang w:val="en-GB"/>
        </w:rPr>
      </w:pPr>
      <w:r w:rsidRPr="005E58D9">
        <w:rPr>
          <w:rFonts w:ascii="Arial" w:hAnsi="Arial"/>
          <w:lang w:val="en-GB"/>
        </w:rPr>
        <w:t>Yes.</w:t>
      </w:r>
    </w:p>
    <w:p w:rsidR="005E58D9" w:rsidRPr="005E58D9" w:rsidRDefault="005E58D9" w:rsidP="00BF4B56">
      <w:pPr>
        <w:pStyle w:val="ListParagraph"/>
        <w:numPr>
          <w:ilvl w:val="0"/>
          <w:numId w:val="1"/>
        </w:numPr>
        <w:spacing w:before="240" w:after="240"/>
        <w:ind w:hanging="720"/>
        <w:jc w:val="both"/>
        <w:rPr>
          <w:rFonts w:ascii="Arial" w:hAnsi="Arial"/>
          <w:lang w:val="en-GB"/>
        </w:rPr>
      </w:pPr>
      <w:r w:rsidRPr="005E58D9">
        <w:rPr>
          <w:rFonts w:ascii="Arial" w:hAnsi="Arial"/>
          <w:lang w:val="en-GB"/>
        </w:rPr>
        <w:t>Yes. And to say that repetition of documents (such as VG determination and report) is not necessary. Also, it should be a requirement for the Respondent to make positive assertions as to its case, not just to say that it disagrees with an Applicant’s analysis.</w:t>
      </w:r>
    </w:p>
    <w:p w:rsidR="005E58D9" w:rsidRPr="005E58D9" w:rsidRDefault="005E58D9" w:rsidP="00BF4B56">
      <w:pPr>
        <w:pStyle w:val="ListParagraph"/>
        <w:numPr>
          <w:ilvl w:val="0"/>
          <w:numId w:val="1"/>
        </w:numPr>
        <w:spacing w:before="240" w:after="240"/>
        <w:ind w:hanging="720"/>
        <w:jc w:val="both"/>
        <w:rPr>
          <w:rFonts w:ascii="Arial" w:hAnsi="Arial"/>
          <w:lang w:val="en-GB"/>
        </w:rPr>
      </w:pPr>
      <w:r w:rsidRPr="005E58D9">
        <w:rPr>
          <w:rFonts w:ascii="Arial" w:hAnsi="Arial"/>
          <w:lang w:val="en-GB"/>
        </w:rPr>
        <w:t xml:space="preserve">It should be changed as suggested. The “more complex” list should also have standard directions changed to allow for the possibility of earlier conciliation conferences without staggering of evidence and position papers. </w:t>
      </w:r>
    </w:p>
    <w:p w:rsidR="005E58D9" w:rsidRPr="005E58D9" w:rsidRDefault="005E58D9" w:rsidP="00BF4B56">
      <w:pPr>
        <w:pStyle w:val="ListParagraph"/>
        <w:numPr>
          <w:ilvl w:val="0"/>
          <w:numId w:val="1"/>
        </w:numPr>
        <w:spacing w:before="240" w:after="240"/>
        <w:ind w:hanging="720"/>
        <w:jc w:val="both"/>
        <w:rPr>
          <w:rFonts w:ascii="Arial" w:hAnsi="Arial"/>
          <w:lang w:val="en-GB"/>
        </w:rPr>
      </w:pPr>
      <w:r w:rsidRPr="005E58D9">
        <w:rPr>
          <w:rFonts w:ascii="Arial" w:hAnsi="Arial"/>
          <w:lang w:val="en-GB"/>
        </w:rPr>
        <w:t xml:space="preserve">Yes. To that end, it should be clearly stated in the practice note that the parties are required to attend any conciliation conference with sufficient authority to make and execute agreements. </w:t>
      </w:r>
    </w:p>
    <w:p w:rsidR="005E58D9" w:rsidRPr="005E58D9" w:rsidRDefault="005E58D9" w:rsidP="00BF4B56">
      <w:pPr>
        <w:pStyle w:val="ListParagraph"/>
        <w:numPr>
          <w:ilvl w:val="0"/>
          <w:numId w:val="1"/>
        </w:numPr>
        <w:spacing w:before="240" w:after="240"/>
        <w:ind w:hanging="720"/>
        <w:jc w:val="both"/>
        <w:rPr>
          <w:rFonts w:ascii="Arial" w:hAnsi="Arial"/>
          <w:lang w:val="en-GB"/>
        </w:rPr>
      </w:pPr>
      <w:r w:rsidRPr="005E58D9">
        <w:rPr>
          <w:rFonts w:ascii="Arial" w:hAnsi="Arial"/>
          <w:lang w:val="en-GB"/>
        </w:rPr>
        <w:t xml:space="preserve">If a matter proceeds to trial, directions should incorporate the possibility of agreed bundles but only if it is an express requirement that (a) duplication is avoided (particularly from joint reports or in annexures); (b) the agreement extends to the authenticity of the document, but not admissibility (in order that parties can preserve objections); (c) parties are to provide any copy of a document proposed for an agreed bundle as immediately as possible following a request.  The bundle should be prepared well advanced from the hearing date in order to assist the production of useful submissions (which should also be prepared farther out from the hearing date than under current directions). </w:t>
      </w:r>
    </w:p>
    <w:p w:rsidR="005E58D9" w:rsidRPr="005E58D9" w:rsidRDefault="005E58D9" w:rsidP="00BF4B56">
      <w:pPr>
        <w:pStyle w:val="ListParagraph"/>
        <w:numPr>
          <w:ilvl w:val="0"/>
          <w:numId w:val="1"/>
        </w:numPr>
        <w:spacing w:before="240" w:after="240"/>
        <w:ind w:hanging="720"/>
        <w:jc w:val="both"/>
        <w:rPr>
          <w:rFonts w:ascii="Arial" w:hAnsi="Arial"/>
          <w:lang w:val="en-GB"/>
        </w:rPr>
      </w:pPr>
      <w:r w:rsidRPr="005E58D9">
        <w:rPr>
          <w:rFonts w:ascii="Arial" w:hAnsi="Arial"/>
          <w:lang w:val="en-GB"/>
        </w:rPr>
        <w:t xml:space="preserve">Lay evidence should be filed later in the timetable if disturbance is in issue. </w:t>
      </w:r>
    </w:p>
    <w:p w:rsidR="005E58D9" w:rsidRPr="005E58D9" w:rsidRDefault="005E58D9" w:rsidP="00BF4B56">
      <w:pPr>
        <w:pStyle w:val="ListParagraph"/>
        <w:numPr>
          <w:ilvl w:val="0"/>
          <w:numId w:val="1"/>
        </w:numPr>
        <w:spacing w:before="240" w:after="240"/>
        <w:ind w:hanging="720"/>
        <w:jc w:val="both"/>
        <w:rPr>
          <w:rFonts w:ascii="Arial" w:hAnsi="Arial"/>
          <w:lang w:val="en-GB"/>
        </w:rPr>
      </w:pPr>
      <w:r w:rsidRPr="005E58D9">
        <w:rPr>
          <w:rFonts w:ascii="Arial" w:hAnsi="Arial"/>
          <w:lang w:val="en-GB"/>
        </w:rPr>
        <w:lastRenderedPageBreak/>
        <w:t xml:space="preserve">An earlier case management mention either after evidence has been exchanged or at the close of pleadings and at least one month before the hearing date would assist.  The immediate pre-trial mention could then be after filing of submissions and primarily concentrate on the organisation of the view. </w:t>
      </w:r>
    </w:p>
    <w:p w:rsidR="005E58D9" w:rsidRPr="005E58D9" w:rsidRDefault="005E58D9" w:rsidP="00BF4B56">
      <w:pPr>
        <w:pStyle w:val="ListParagraph"/>
        <w:numPr>
          <w:ilvl w:val="0"/>
          <w:numId w:val="1"/>
        </w:numPr>
        <w:spacing w:before="240" w:after="240"/>
        <w:ind w:hanging="720"/>
        <w:jc w:val="both"/>
        <w:rPr>
          <w:rFonts w:ascii="Arial" w:hAnsi="Arial"/>
          <w:lang w:val="en-GB"/>
        </w:rPr>
      </w:pPr>
      <w:r w:rsidRPr="005E58D9">
        <w:rPr>
          <w:rFonts w:ascii="Arial" w:hAnsi="Arial"/>
          <w:lang w:val="en-GB"/>
        </w:rPr>
        <w:t xml:space="preserve">A pre-trial mention is useful for organisation of the view.  </w:t>
      </w:r>
    </w:p>
    <w:p w:rsidR="005E58D9" w:rsidRPr="005E58D9" w:rsidRDefault="005E58D9" w:rsidP="00BF4B56">
      <w:pPr>
        <w:pStyle w:val="ListParagraph"/>
        <w:numPr>
          <w:ilvl w:val="0"/>
          <w:numId w:val="1"/>
        </w:numPr>
        <w:spacing w:before="240" w:after="240"/>
        <w:ind w:hanging="720"/>
        <w:jc w:val="both"/>
        <w:rPr>
          <w:rFonts w:ascii="Arial" w:hAnsi="Arial"/>
          <w:lang w:val="en-GB"/>
        </w:rPr>
      </w:pPr>
      <w:r w:rsidRPr="005E58D9">
        <w:rPr>
          <w:rFonts w:ascii="Arial" w:hAnsi="Arial"/>
          <w:lang w:val="en-GB"/>
        </w:rPr>
        <w:t>This could be a requirement for the Respondent’s submissions.</w:t>
      </w:r>
    </w:p>
    <w:p w:rsidR="005E58D9" w:rsidRPr="005E58D9" w:rsidRDefault="005E58D9" w:rsidP="00BF4B56">
      <w:pPr>
        <w:pStyle w:val="ListParagraph"/>
        <w:numPr>
          <w:ilvl w:val="0"/>
          <w:numId w:val="1"/>
        </w:numPr>
        <w:spacing w:before="240" w:after="240"/>
        <w:ind w:hanging="720"/>
        <w:jc w:val="both"/>
        <w:rPr>
          <w:rFonts w:ascii="Arial" w:hAnsi="Arial"/>
          <w:lang w:val="en-GB"/>
        </w:rPr>
      </w:pPr>
      <w:r w:rsidRPr="005E58D9">
        <w:rPr>
          <w:rFonts w:ascii="Arial" w:hAnsi="Arial"/>
          <w:lang w:val="en-GB"/>
        </w:rPr>
        <w:t>I doubt the utility of such a form.  What would assist is if submission directions were brought farther forward from the hearing date so that issues in disturbance, amongst others, were better known in advance of the hearing date.   </w:t>
      </w:r>
    </w:p>
    <w:p w:rsidR="005E58D9" w:rsidRPr="005E58D9" w:rsidRDefault="005E58D9" w:rsidP="00BF4B56">
      <w:pPr>
        <w:pStyle w:val="ListParagraph"/>
        <w:numPr>
          <w:ilvl w:val="0"/>
          <w:numId w:val="1"/>
        </w:numPr>
        <w:spacing w:before="240" w:after="240"/>
        <w:ind w:hanging="720"/>
        <w:jc w:val="both"/>
        <w:rPr>
          <w:rFonts w:ascii="Arial" w:hAnsi="Arial"/>
          <w:lang w:val="en-GB"/>
        </w:rPr>
      </w:pPr>
      <w:r w:rsidRPr="005E58D9">
        <w:rPr>
          <w:rFonts w:ascii="Arial" w:hAnsi="Arial"/>
          <w:lang w:val="en-GB"/>
        </w:rPr>
        <w:t>Pre-trial mention.</w:t>
      </w:r>
    </w:p>
    <w:p w:rsidR="005E58D9" w:rsidRPr="005E58D9" w:rsidRDefault="005E58D9" w:rsidP="00BF4B56">
      <w:pPr>
        <w:pStyle w:val="ListParagraph"/>
        <w:numPr>
          <w:ilvl w:val="0"/>
          <w:numId w:val="1"/>
        </w:numPr>
        <w:spacing w:before="240" w:after="240"/>
        <w:ind w:hanging="720"/>
        <w:jc w:val="both"/>
        <w:rPr>
          <w:rFonts w:ascii="Arial" w:hAnsi="Arial"/>
          <w:lang w:val="en-GB"/>
        </w:rPr>
      </w:pPr>
      <w:r w:rsidRPr="005E58D9">
        <w:rPr>
          <w:rFonts w:ascii="Arial" w:hAnsi="Arial"/>
          <w:lang w:val="en-GB"/>
        </w:rPr>
        <w:t>Either:</w:t>
      </w:r>
    </w:p>
    <w:p w:rsidR="005E58D9" w:rsidRPr="005E58D9" w:rsidRDefault="005E58D9" w:rsidP="00BF4B56">
      <w:pPr>
        <w:pStyle w:val="ListParagraph"/>
        <w:spacing w:before="240" w:after="240"/>
        <w:ind w:left="1440" w:hanging="720"/>
        <w:jc w:val="both"/>
        <w:rPr>
          <w:rFonts w:ascii="Arial" w:hAnsi="Arial"/>
          <w:lang w:val="en-GB"/>
        </w:rPr>
      </w:pPr>
      <w:r w:rsidRPr="005E58D9">
        <w:rPr>
          <w:rFonts w:ascii="Arial" w:hAnsi="Arial"/>
          <w:lang w:val="en-GB"/>
        </w:rPr>
        <w:t>a</w:t>
      </w:r>
      <w:r w:rsidR="00BF4B56">
        <w:rPr>
          <w:rFonts w:ascii="Arial" w:hAnsi="Arial"/>
          <w:lang w:val="en-GB"/>
        </w:rPr>
        <w:tab/>
      </w:r>
      <w:r w:rsidRPr="005E58D9">
        <w:rPr>
          <w:rFonts w:ascii="Arial" w:hAnsi="Arial"/>
          <w:lang w:val="en-GB"/>
        </w:rPr>
        <w:t xml:space="preserve">Current arrangements for the Applicant to produce evidence first be reversed so that the Respondent/Authority sets the stage for its view of compensation to be provided before an Applicant undertakes the costs/risks of challenging the Respondent’s case (and has a proper opportunity to consider the VG-determined offer); or </w:t>
      </w:r>
    </w:p>
    <w:p w:rsidR="005E58D9" w:rsidRPr="005E58D9" w:rsidRDefault="00BF4B56" w:rsidP="00BF4B56">
      <w:pPr>
        <w:pStyle w:val="ListParagraph"/>
        <w:spacing w:before="240" w:after="240"/>
        <w:ind w:left="1440" w:hanging="720"/>
        <w:jc w:val="both"/>
        <w:rPr>
          <w:rFonts w:ascii="Arial" w:hAnsi="Arial"/>
          <w:lang w:val="en-GB"/>
        </w:rPr>
      </w:pPr>
      <w:proofErr w:type="gramStart"/>
      <w:r>
        <w:rPr>
          <w:rFonts w:ascii="Arial" w:hAnsi="Arial"/>
          <w:lang w:val="en-GB"/>
        </w:rPr>
        <w:t>b</w:t>
      </w:r>
      <w:proofErr w:type="gramEnd"/>
      <w:r>
        <w:rPr>
          <w:rFonts w:ascii="Arial" w:hAnsi="Arial"/>
          <w:lang w:val="en-GB"/>
        </w:rPr>
        <w:tab/>
      </w:r>
      <w:r w:rsidR="005E58D9" w:rsidRPr="005E58D9">
        <w:rPr>
          <w:rFonts w:ascii="Arial" w:hAnsi="Arial"/>
          <w:lang w:val="en-GB"/>
        </w:rPr>
        <w:t xml:space="preserve">There should be greater occasion for evidence to be exchanged.  </w:t>
      </w:r>
    </w:p>
    <w:p w:rsidR="005E58D9" w:rsidRPr="005E58D9" w:rsidRDefault="005E58D9" w:rsidP="00BF4B56">
      <w:pPr>
        <w:spacing w:before="240" w:after="240" w:line="240" w:lineRule="auto"/>
        <w:jc w:val="both"/>
        <w:rPr>
          <w:rFonts w:ascii="Arial" w:hAnsi="Arial"/>
          <w:sz w:val="24"/>
          <w:lang w:val="en-GB"/>
        </w:rPr>
      </w:pPr>
    </w:p>
    <w:p w:rsidR="00BF4B56" w:rsidRDefault="005E58D9" w:rsidP="00BF4B56">
      <w:pPr>
        <w:spacing w:before="240" w:after="240" w:line="240" w:lineRule="auto"/>
        <w:jc w:val="both"/>
        <w:rPr>
          <w:rFonts w:ascii="Arial" w:hAnsi="Arial"/>
          <w:sz w:val="24"/>
          <w:lang w:val="en-GB" w:eastAsia="en-GB"/>
        </w:rPr>
      </w:pPr>
      <w:r w:rsidRPr="005E58D9">
        <w:rPr>
          <w:rFonts w:ascii="Arial" w:hAnsi="Arial"/>
          <w:sz w:val="24"/>
          <w:lang w:val="en-GB" w:eastAsia="en-GB"/>
        </w:rPr>
        <w:t>Yours faithfully</w:t>
      </w:r>
    </w:p>
    <w:p w:rsidR="00BF4B56" w:rsidRPr="00B25271" w:rsidRDefault="005E58D9" w:rsidP="00BF4B56">
      <w:pPr>
        <w:spacing w:before="240" w:after="240" w:line="240" w:lineRule="auto"/>
        <w:jc w:val="both"/>
        <w:rPr>
          <w:rFonts w:ascii="Arial" w:hAnsi="Arial"/>
          <w:b/>
          <w:sz w:val="24"/>
          <w:lang w:val="en-GB" w:eastAsia="en-GB"/>
        </w:rPr>
      </w:pPr>
      <w:r w:rsidRPr="00B25271">
        <w:rPr>
          <w:rFonts w:ascii="Arial" w:hAnsi="Arial"/>
          <w:b/>
          <w:sz w:val="24"/>
          <w:lang w:val="en-GB" w:eastAsia="en-GB"/>
        </w:rPr>
        <w:t>MARK SEYMOUR</w:t>
      </w:r>
    </w:p>
    <w:p w:rsidR="00BF4B56" w:rsidRDefault="00BF4B56" w:rsidP="00BF4B56">
      <w:pPr>
        <w:spacing w:before="240" w:after="240" w:line="240" w:lineRule="auto"/>
        <w:jc w:val="both"/>
        <w:rPr>
          <w:rFonts w:ascii="Arial" w:hAnsi="Arial"/>
          <w:sz w:val="24"/>
          <w:lang w:val="en-GB" w:eastAsia="en-GB"/>
        </w:rPr>
      </w:pPr>
      <w:r>
        <w:rPr>
          <w:rFonts w:ascii="Arial" w:hAnsi="Arial"/>
          <w:sz w:val="24"/>
          <w:lang w:val="en-GB" w:eastAsia="en-GB"/>
        </w:rPr>
        <w:t>32/52 Martin Place</w:t>
      </w:r>
    </w:p>
    <w:p w:rsidR="00BF4B56" w:rsidRDefault="005E58D9" w:rsidP="00BF4B56">
      <w:pPr>
        <w:spacing w:before="240" w:after="240" w:line="240" w:lineRule="auto"/>
        <w:jc w:val="both"/>
        <w:rPr>
          <w:rFonts w:ascii="Arial" w:hAnsi="Arial"/>
          <w:sz w:val="24"/>
          <w:lang w:val="en-GB" w:eastAsia="en-GB"/>
        </w:rPr>
      </w:pPr>
      <w:r w:rsidRPr="005E58D9">
        <w:rPr>
          <w:rFonts w:ascii="Arial" w:hAnsi="Arial"/>
          <w:sz w:val="24"/>
          <w:lang w:val="en-GB" w:eastAsia="en-GB"/>
        </w:rPr>
        <w:t>Sydney NSW 2000</w:t>
      </w:r>
    </w:p>
    <w:p w:rsidR="00BF4B56" w:rsidRDefault="005E58D9" w:rsidP="00BF4B56">
      <w:pPr>
        <w:spacing w:before="240" w:after="240" w:line="240" w:lineRule="auto"/>
        <w:jc w:val="both"/>
        <w:rPr>
          <w:rFonts w:ascii="Arial" w:hAnsi="Arial"/>
          <w:sz w:val="24"/>
          <w:lang w:val="en-GB" w:eastAsia="en-GB"/>
        </w:rPr>
      </w:pPr>
      <w:r w:rsidRPr="005E58D9">
        <w:rPr>
          <w:rFonts w:ascii="Arial" w:hAnsi="Arial"/>
          <w:sz w:val="24"/>
          <w:lang w:val="en-GB" w:eastAsia="en-GB"/>
        </w:rPr>
        <w:t>DX 130 SYDNEY</w:t>
      </w:r>
    </w:p>
    <w:p w:rsidR="005E58D9" w:rsidRPr="005E58D9" w:rsidRDefault="005E58D9" w:rsidP="00BF4B56">
      <w:pPr>
        <w:spacing w:before="240" w:after="240" w:line="240" w:lineRule="auto"/>
        <w:jc w:val="both"/>
        <w:rPr>
          <w:rFonts w:ascii="Arial" w:hAnsi="Arial"/>
          <w:sz w:val="24"/>
          <w:szCs w:val="24"/>
          <w:lang w:val="en-GB" w:eastAsia="en-GB"/>
        </w:rPr>
      </w:pPr>
      <w:r w:rsidRPr="005E58D9">
        <w:rPr>
          <w:rFonts w:ascii="Arial" w:hAnsi="Arial"/>
          <w:sz w:val="24"/>
          <w:lang w:val="en-GB" w:eastAsia="en-GB"/>
        </w:rPr>
        <w:t>Tel: (02) 82279600</w:t>
      </w:r>
    </w:p>
    <w:sectPr w:rsidR="005E58D9" w:rsidRPr="005E58D9" w:rsidSect="00FC5F0D">
      <w:footerReference w:type="default" r:id="rId8"/>
      <w:pgSz w:w="12240" w:h="15840" w:code="1"/>
      <w:pgMar w:top="1440" w:right="1440" w:bottom="1440" w:left="1440" w:header="720" w:footer="432" w:gutter="0"/>
      <w:cols w:space="708"/>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5271" w:rsidRDefault="00B25271" w:rsidP="00B25271">
      <w:pPr>
        <w:spacing w:after="0" w:line="240" w:lineRule="auto"/>
      </w:pPr>
      <w:r>
        <w:separator/>
      </w:r>
    </w:p>
  </w:endnote>
  <w:endnote w:type="continuationSeparator" w:id="0">
    <w:p w:rsidR="00B25271" w:rsidRDefault="00B25271" w:rsidP="00B252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271" w:rsidRPr="00B25271" w:rsidRDefault="00B25271">
    <w:pPr>
      <w:pStyle w:val="Footer"/>
      <w:jc w:val="center"/>
      <w:rPr>
        <w:rFonts w:ascii="Arial" w:hAnsi="Arial"/>
        <w:sz w:val="24"/>
      </w:rPr>
    </w:pPr>
    <w:r w:rsidRPr="00B25271">
      <w:rPr>
        <w:rFonts w:ascii="Arial" w:hAnsi="Arial"/>
        <w:sz w:val="24"/>
      </w:rPr>
      <w:fldChar w:fldCharType="begin"/>
    </w:r>
    <w:r w:rsidRPr="00B25271">
      <w:rPr>
        <w:rFonts w:ascii="Arial" w:hAnsi="Arial"/>
        <w:sz w:val="24"/>
      </w:rPr>
      <w:instrText xml:space="preserve"> PAGE   \* MERGEFORMAT </w:instrText>
    </w:r>
    <w:r w:rsidRPr="00B25271">
      <w:rPr>
        <w:rFonts w:ascii="Arial" w:hAnsi="Arial"/>
        <w:sz w:val="24"/>
      </w:rPr>
      <w:fldChar w:fldCharType="separate"/>
    </w:r>
    <w:r w:rsidR="00FE33F6">
      <w:rPr>
        <w:rFonts w:ascii="Arial" w:hAnsi="Arial"/>
        <w:noProof/>
        <w:sz w:val="24"/>
      </w:rPr>
      <w:t>1</w:t>
    </w:r>
    <w:r w:rsidRPr="00B25271">
      <w:rPr>
        <w:rFonts w:ascii="Arial" w:hAnsi="Arial"/>
        <w:noProof/>
        <w:sz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5271" w:rsidRDefault="00B25271" w:rsidP="00B25271">
      <w:pPr>
        <w:spacing w:after="0" w:line="240" w:lineRule="auto"/>
      </w:pPr>
      <w:r>
        <w:separator/>
      </w:r>
    </w:p>
  </w:footnote>
  <w:footnote w:type="continuationSeparator" w:id="0">
    <w:p w:rsidR="00B25271" w:rsidRDefault="00B25271" w:rsidP="00B2527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ED382B"/>
    <w:multiLevelType w:val="hybridMultilevel"/>
    <w:tmpl w:val="F3F4A2EC"/>
    <w:lvl w:ilvl="0" w:tplc="C2C2219E">
      <w:start w:val="1"/>
      <w:numFmt w:val="decimal"/>
      <w:lvlText w:val="%1"/>
      <w:lvlJc w:val="left"/>
      <w:pPr>
        <w:ind w:left="720" w:hanging="360"/>
      </w:pPr>
      <w:rPr>
        <w:rFonts w:ascii="Arial" w:hAnsi="Arial" w:cs="Aria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nsid w:val="235C371D"/>
    <w:multiLevelType w:val="hybridMultilevel"/>
    <w:tmpl w:val="371231A8"/>
    <w:lvl w:ilvl="0" w:tplc="94505068">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rawingGridVerticalSpacing w:val="299"/>
  <w:displayHorizontalDrawingGridEvery w:val="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58D9"/>
    <w:rsid w:val="00002C2B"/>
    <w:rsid w:val="000D5B42"/>
    <w:rsid w:val="002E5940"/>
    <w:rsid w:val="005B18FC"/>
    <w:rsid w:val="005D7DBC"/>
    <w:rsid w:val="005E58D9"/>
    <w:rsid w:val="00731D96"/>
    <w:rsid w:val="00860309"/>
    <w:rsid w:val="008609EF"/>
    <w:rsid w:val="00986BF5"/>
    <w:rsid w:val="00B25271"/>
    <w:rsid w:val="00BF4B56"/>
    <w:rsid w:val="00DA6079"/>
    <w:rsid w:val="00DE528A"/>
    <w:rsid w:val="00F66708"/>
    <w:rsid w:val="00FC5F0D"/>
    <w:rsid w:val="00FE33F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5D7DBC"/>
    <w:rPr>
      <w:rFonts w:ascii="Arial" w:hAnsi="Arial"/>
      <w:color w:val="0000FF"/>
      <w:sz w:val="20"/>
      <w:u w:val="single"/>
    </w:rPr>
  </w:style>
  <w:style w:type="paragraph" w:styleId="ListParagraph">
    <w:name w:val="List Paragraph"/>
    <w:basedOn w:val="Normal"/>
    <w:uiPriority w:val="34"/>
    <w:qFormat/>
    <w:rsid w:val="005E58D9"/>
    <w:pPr>
      <w:spacing w:after="0" w:line="240" w:lineRule="auto"/>
      <w:ind w:left="720"/>
    </w:pPr>
    <w:rPr>
      <w:rFonts w:cs="Calibri"/>
      <w:sz w:val="24"/>
      <w:szCs w:val="24"/>
    </w:rPr>
  </w:style>
  <w:style w:type="paragraph" w:styleId="Header">
    <w:name w:val="header"/>
    <w:basedOn w:val="Normal"/>
    <w:link w:val="HeaderChar"/>
    <w:uiPriority w:val="99"/>
    <w:unhideWhenUsed/>
    <w:rsid w:val="00B25271"/>
    <w:pPr>
      <w:tabs>
        <w:tab w:val="center" w:pos="4513"/>
        <w:tab w:val="right" w:pos="9026"/>
      </w:tabs>
    </w:pPr>
  </w:style>
  <w:style w:type="character" w:customStyle="1" w:styleId="HeaderChar">
    <w:name w:val="Header Char"/>
    <w:link w:val="Header"/>
    <w:uiPriority w:val="99"/>
    <w:rsid w:val="00B25271"/>
    <w:rPr>
      <w:sz w:val="22"/>
      <w:szCs w:val="22"/>
      <w:lang w:eastAsia="en-US"/>
    </w:rPr>
  </w:style>
  <w:style w:type="paragraph" w:styleId="Footer">
    <w:name w:val="footer"/>
    <w:basedOn w:val="Normal"/>
    <w:link w:val="FooterChar"/>
    <w:uiPriority w:val="99"/>
    <w:unhideWhenUsed/>
    <w:rsid w:val="00B25271"/>
    <w:pPr>
      <w:tabs>
        <w:tab w:val="center" w:pos="4513"/>
        <w:tab w:val="right" w:pos="9026"/>
      </w:tabs>
    </w:pPr>
  </w:style>
  <w:style w:type="character" w:customStyle="1" w:styleId="FooterChar">
    <w:name w:val="Footer Char"/>
    <w:link w:val="Footer"/>
    <w:uiPriority w:val="99"/>
    <w:rsid w:val="00B25271"/>
    <w:rPr>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5D7DBC"/>
    <w:rPr>
      <w:rFonts w:ascii="Arial" w:hAnsi="Arial"/>
      <w:color w:val="0000FF"/>
      <w:sz w:val="20"/>
      <w:u w:val="single"/>
    </w:rPr>
  </w:style>
  <w:style w:type="paragraph" w:styleId="ListParagraph">
    <w:name w:val="List Paragraph"/>
    <w:basedOn w:val="Normal"/>
    <w:uiPriority w:val="34"/>
    <w:qFormat/>
    <w:rsid w:val="005E58D9"/>
    <w:pPr>
      <w:spacing w:after="0" w:line="240" w:lineRule="auto"/>
      <w:ind w:left="720"/>
    </w:pPr>
    <w:rPr>
      <w:rFonts w:cs="Calibri"/>
      <w:sz w:val="24"/>
      <w:szCs w:val="24"/>
    </w:rPr>
  </w:style>
  <w:style w:type="paragraph" w:styleId="Header">
    <w:name w:val="header"/>
    <w:basedOn w:val="Normal"/>
    <w:link w:val="HeaderChar"/>
    <w:uiPriority w:val="99"/>
    <w:unhideWhenUsed/>
    <w:rsid w:val="00B25271"/>
    <w:pPr>
      <w:tabs>
        <w:tab w:val="center" w:pos="4513"/>
        <w:tab w:val="right" w:pos="9026"/>
      </w:tabs>
    </w:pPr>
  </w:style>
  <w:style w:type="character" w:customStyle="1" w:styleId="HeaderChar">
    <w:name w:val="Header Char"/>
    <w:link w:val="Header"/>
    <w:uiPriority w:val="99"/>
    <w:rsid w:val="00B25271"/>
    <w:rPr>
      <w:sz w:val="22"/>
      <w:szCs w:val="22"/>
      <w:lang w:eastAsia="en-US"/>
    </w:rPr>
  </w:style>
  <w:style w:type="paragraph" w:styleId="Footer">
    <w:name w:val="footer"/>
    <w:basedOn w:val="Normal"/>
    <w:link w:val="FooterChar"/>
    <w:uiPriority w:val="99"/>
    <w:unhideWhenUsed/>
    <w:rsid w:val="00B25271"/>
    <w:pPr>
      <w:tabs>
        <w:tab w:val="center" w:pos="4513"/>
        <w:tab w:val="right" w:pos="9026"/>
      </w:tabs>
    </w:pPr>
  </w:style>
  <w:style w:type="character" w:customStyle="1" w:styleId="FooterChar">
    <w:name w:val="Footer Char"/>
    <w:link w:val="Footer"/>
    <w:uiPriority w:val="99"/>
    <w:rsid w:val="00B25271"/>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680340">
      <w:bodyDiv w:val="1"/>
      <w:marLeft w:val="0"/>
      <w:marRight w:val="0"/>
      <w:marTop w:val="0"/>
      <w:marBottom w:val="0"/>
      <w:divBdr>
        <w:top w:val="none" w:sz="0" w:space="0" w:color="auto"/>
        <w:left w:val="none" w:sz="0" w:space="0" w:color="auto"/>
        <w:bottom w:val="none" w:sz="0" w:space="0" w:color="auto"/>
        <w:right w:val="none" w:sz="0" w:space="0" w:color="auto"/>
      </w:divBdr>
    </w:div>
    <w:div w:id="1675382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customXml" Target="../customXml/item1.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J Document" ma:contentTypeID="0x01010077DC2A28846341C9915EFC7988C44A4F00A93AA2A64EAE464B95A73773921D4EF4" ma:contentTypeVersion="2" ma:contentTypeDescription="" ma:contentTypeScope="" ma:versionID="7d2f374c2576e686b500d9753ebc3028">
  <xsd:schema xmlns:xsd="http://www.w3.org/2001/XMLSchema" xmlns:xs="http://www.w3.org/2001/XMLSchema" xmlns:p="http://schemas.microsoft.com/office/2006/metadata/properties" xmlns:ns3="b08e1e5d-77d8-426a-872c-992d65a7e5e8" xmlns:ns4="c7f903ae-5f30-471a-a3a9-a255984b6902" targetNamespace="http://schemas.microsoft.com/office/2006/metadata/properties" ma:root="true" ma:fieldsID="9784976e48f7fa3da1a694605bb6feb5" ns3:_="" ns4:_="">
    <xsd:import namespace="b08e1e5d-77d8-426a-872c-992d65a7e5e8"/>
    <xsd:import namespace="c7f903ae-5f30-471a-a3a9-a255984b6902"/>
    <xsd:element name="properties">
      <xsd:complexType>
        <xsd:sequence>
          <xsd:element name="documentManagement">
            <xsd:complexType>
              <xsd:all>
                <xsd:element ref="ns3:TaxCatchAll" minOccurs="0"/>
                <xsd:element ref="ns4:ne8158a489a9473f9c54eecb4c21131b" minOccurs="0"/>
                <xsd:element ref="ns4:bc56bdda6a6a44c48d8cfdd96ad4c147"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8e1e5d-77d8-426a-872c-992d65a7e5e8"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8a8ed3a4-dd72-4110-8c0f-1a97b53c4b67}" ma:internalName="TaxCatchAll" ma:showField="CatchAllData" ma:web="b08e1e5d-77d8-426a-872c-992d65a7e5e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7f903ae-5f30-471a-a3a9-a255984b6902" elementFormDefault="qualified">
    <xsd:import namespace="http://schemas.microsoft.com/office/2006/documentManagement/types"/>
    <xsd:import namespace="http://schemas.microsoft.com/office/infopath/2007/PartnerControls"/>
    <xsd:element name="ne8158a489a9473f9c54eecb4c21131b" ma:index="11" ma:taxonomy="true" ma:internalName="ne8158a489a9473f9c54eecb4c21131b" ma:taxonomyFieldName="Content_x0020_tags" ma:displayName="Content tags" ma:fieldId="{7e8158a4-89a9-473f-9c54-eecb4c21131b}" ma:taxonomyMulti="true" ma:sspId="f6e08d11-6f9a-422e-94df-5713af838a64" ma:termSetId="a069c314-3269-420f-97d4-651b5f06edc3" ma:anchorId="00000000-0000-0000-0000-000000000000" ma:open="false" ma:isKeyword="false">
      <xsd:complexType>
        <xsd:sequence>
          <xsd:element ref="pc:Terms" minOccurs="0" maxOccurs="1"/>
        </xsd:sequence>
      </xsd:complexType>
    </xsd:element>
    <xsd:element name="bc56bdda6a6a44c48d8cfdd96ad4c147" ma:index="12" nillable="true" ma:taxonomy="true" ma:internalName="bc56bdda6a6a44c48d8cfdd96ad4c147" ma:taxonomyFieldName="DC_x002e_Type_x002e_DocType_x0020__x0028_JSMS" ma:displayName="DC.Type.DocType (JSMS)" ma:fieldId="{bc56bdda-6a6a-44c4-8d8c-fdd96ad4c147}" ma:sspId="f6e08d11-6f9a-422e-94df-5713af838a64" ma:termSetId="b3e06974-9d97-43bf-b4dd-d0f5e0db0ed5"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08e1e5d-77d8-426a-872c-992d65a7e5e8">
      <Value>3</Value>
    </TaxCatchAll>
    <ne8158a489a9473f9c54eecb4c21131b xmlns="c7f903ae-5f30-471a-a3a9-a255984b6902">
      <Terms xmlns="http://schemas.microsoft.com/office/infopath/2007/PartnerControls">
        <TermInfo xmlns="http://schemas.microsoft.com/office/infopath/2007/PartnerControls">
          <TermName xmlns="http://schemas.microsoft.com/office/infopath/2007/PartnerControls">Land and Enviornment Court</TermName>
          <TermId xmlns="http://schemas.microsoft.com/office/infopath/2007/PartnerControls">8f42e119-0d97-46c3-ba7d-a18c2756fe0d</TermId>
        </TermInfo>
      </Terms>
    </ne8158a489a9473f9c54eecb4c21131b>
    <bc56bdda6a6a44c48d8cfdd96ad4c147 xmlns="c7f903ae-5f30-471a-a3a9-a255984b6902">
      <Terms xmlns="http://schemas.microsoft.com/office/infopath/2007/PartnerControls"/>
    </bc56bdda6a6a44c48d8cfdd96ad4c147>
  </documentManagement>
</p:properties>
</file>

<file path=customXml/itemProps1.xml><?xml version="1.0" encoding="utf-8"?>
<ds:datastoreItem xmlns:ds="http://schemas.openxmlformats.org/officeDocument/2006/customXml" ds:itemID="{01C59086-B04D-41D0-81B1-8F22268D7D1F}"/>
</file>

<file path=customXml/itemProps2.xml><?xml version="1.0" encoding="utf-8"?>
<ds:datastoreItem xmlns:ds="http://schemas.openxmlformats.org/officeDocument/2006/customXml" ds:itemID="{296F84AA-E270-412B-AC9B-3B5288A739E0}"/>
</file>

<file path=customXml/itemProps3.xml><?xml version="1.0" encoding="utf-8"?>
<ds:datastoreItem xmlns:ds="http://schemas.openxmlformats.org/officeDocument/2006/customXml" ds:itemID="{971CAC3C-E9E6-4D16-94C8-8680174AD2C6}"/>
</file>

<file path=docProps/app.xml><?xml version="1.0" encoding="utf-8"?>
<Properties xmlns="http://schemas.openxmlformats.org/officeDocument/2006/extended-properties" xmlns:vt="http://schemas.openxmlformats.org/officeDocument/2006/docPropsVTypes">
  <Template>5F18626.dotm</Template>
  <TotalTime>0</TotalTime>
  <Pages>2</Pages>
  <Words>522</Words>
  <Characters>2982</Characters>
  <Application>Microsoft Office Word</Application>
  <DocSecurity>4</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Department of Attorney General &amp; Justice</Company>
  <LinksUpToDate>false</LinksUpToDate>
  <CharactersWithSpaces>3498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Peta Dixon</dc:creator>
  <cp:lastModifiedBy>Vicki Ferguson</cp:lastModifiedBy>
  <cp:revision>2</cp:revision>
  <dcterms:created xsi:type="dcterms:W3CDTF">2017-07-28T05:34:00Z</dcterms:created>
  <dcterms:modified xsi:type="dcterms:W3CDTF">2017-07-28T05:34:00Z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0x01010077DC2A28846341C9915EFC7988C44A4F00A93AA2A64EAE464B95A73773921D4EF4</vt:lpwstr>
  </property>
  <property fmtid="{D5CDD505-2E9C-101B-9397-08002B2CF9AE}" pid="3" name="Content tags">
    <vt:lpwstr>3;#Land and Enviornment Court|8f42e119-0d97-46c3-ba7d-a18c2756fe0d</vt:lpwstr>
  </property>
  <property fmtid="{D5CDD505-2E9C-101B-9397-08002B2CF9AE}" pid="4" name="DC.Type.DocType (JSMS">
    <vt:lpwstr/>
  </property>
</Properties>
</file>